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44"/>
    <w:p>
      <w:pPr>
        <w:pStyle w:val="Heading1"/>
      </w:pPr>
      <w:r>
        <w:t xml:space="preserve">Homiletics Analysis: Ezekiel 44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(Ezekiel 40–48 — The Temple Vision):</w:t>
      </w:r>
      <w:r>
        <w:t xml:space="preserve"> </w:t>
      </w:r>
      <w:r>
        <w:t xml:space="preserve">Ezekiel 40–48 constitutes the final major vision of the book, given to the prophet in the twenty-fifth year of exile (573 BC). The vision’s controlling purpose is the restoration of proper worship in a restored Israel under the glory of the LORD who has returned to His dwelling place (43:1–5, reversing 10:18–19 and 11:22–23). Chapters 40–42 detail the temple’s architecture; chapter 43 records the return of the divine glory and the re-consecration of the altar; chapters 44–46 govern the personnel and practices of the restored temple; chapters 47–48 describe the life-giving river and the reallocation of the land. Ezekiel 44 belongs to the central governance section (44–46) and carries the weight of establishing who may approach God, under what conditions, and on what terms.</w:t>
      </w:r>
    </w:p>
    <w:p>
      <w:pPr>
        <w:pStyle w:val="BodyText"/>
      </w:pPr>
      <w:r>
        <w:rPr>
          <w:b/>
          <w:bCs/>
        </w:rPr>
        <w:t xml:space="preserve">This Text — Content:</w:t>
      </w:r>
      <w:r>
        <w:t xml:space="preserve"> </w:t>
      </w:r>
      <w:r>
        <w:t xml:space="preserve">Ezekiel 44 opens with the shut east gate — the gate through which the LORD’s glory entered (43:1–4) — now permanently closed to human traffic as a sign of the LORD’s exclusive claim. The prince alone may eat bread in the gate’s vestibule, but he may not pass through it. The chapter then confronts Israel’s past failure: foreigners, uncircumcised in heart and flesh, were admitted to serve in the sanctuary — a profanation of the LORD’s holy things. The Levites who followed Israel into idolatry bear their iniquity and are demoted to menial temple service — gatekeeping, slaughtering, and assisting the people — but are barred from the altar and the most holy things. The Zadokite priests, who remained faithful when Israel strayed, are confirmed in their full priestly ministry: they alone approach the LORD’s table, they alone enter the sanctuary, they alone minister at the altar. The chapter closes with detailed regulations for the Zadokites’ conduct: linen garments, no sweat-producing wool, no shaved heads or uncut hair, no wine before ministry, no marriage to foreigners or widows except a priest’s widow, instruction of Israel in holy/common and clean/unclean distinctions, just judgment, no inheritance of land (the LORD is their inheritance), no defilement by corpses except for immediate family, careful consecration after any such defilement.</w:t>
      </w:r>
    </w:p>
    <w:p>
      <w:pPr>
        <w:pStyle w:val="BodyText"/>
      </w:pPr>
      <w:r>
        <w:rPr>
          <w:b/>
          <w:bCs/>
        </w:rPr>
        <w:t xml:space="preserve">This Text — Intent:</w:t>
      </w:r>
      <w:r>
        <w:t xml:space="preserve"> </w:t>
      </w:r>
      <w:r>
        <w:t xml:space="preserve">God is confronting Israel — and every generation of readers — with the seriousness of holiness as the non-negotiable condition for access to His presence, and He is doing so not merely as law but as gospel: the restoration of right worship is itself the mercy, and the grading of access by faithfulness is the vindication of those who endured when others compromised. The intent is to produce reverence, self-examination regarding heart-circumcision and faithfulness to the LORD in times of communal apostasy, and a renewed understanding that God’s presence cannot be treated as a common or casually accessible thing.</w:t>
      </w:r>
    </w:p>
    <w:p>
      <w:r>
        <w:pict>
          <v:rect style="width:0;height:1.5pt" o:hralign="center" o:hrstd="t" o:hr="t"/>
        </w:pict>
      </w:r>
    </w:p>
    <w:p>
      <w:pPr>
        <w:pStyle w:val="FirstParagraph"/>
      </w:pPr>
      <w:r>
        <w:rPr>
          <w:b/>
          <w:bCs/>
        </w:rPr>
        <w:t xml:space="preserve">Subject Sentence:</w:t>
      </w:r>
      <w:r>
        <w:t xml:space="preserve"> </w:t>
      </w:r>
      <w:r>
        <w:t xml:space="preserve">The LORD regulates access to His restored presence strictly, vindicating faithfulness and judging unfaithfulness in His house.</w:t>
      </w:r>
    </w:p>
    <w:p>
      <w:r>
        <w:pict>
          <v:rect style="width:0;height:1.5pt" o:hralign="center" o:hrstd="t" o:hr="t"/>
        </w:pict>
      </w:r>
    </w:p>
    <w:p>
      <w:pPr>
        <w:pStyle w:val="FirstParagraph"/>
      </w:pPr>
      <w:r>
        <w:rPr>
          <w:b/>
          <w:bCs/>
        </w:rPr>
        <w:t xml:space="preserve">Primary Claim:</w:t>
      </w:r>
      <w:r>
        <w:t xml:space="preserve"> </w:t>
      </w:r>
      <w:r>
        <w:t xml:space="preserve">God is asserting that proximity to His presence is not a right but a gift governed by faithfulness and holiness — and He is calling His people to take His holiness with absolute seriousness while trusting that those who remain faithful to Him in a compromised generation will not be forgotten.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Shut East Gate (vv. 1–3):</w:t>
      </w:r>
      <w:r>
        <w:t xml:space="preserve"> </w:t>
      </w:r>
      <w:r>
        <w:t xml:space="preserve">A major interpretive question is whether the permanently shut east gate refers to the Messiah’s exclusive entry (a common interpretation in Jewish tradition and some Christian readings) or whether it primarily functions as a perpetual memorial of the LORD’s return — a sacred space preserved precisely because the divine glory has passed through it. Some interpreters have connected this gate to the Golden Gate in Jerusalem’s eastern wall, suggesting a messianic or eschatological significance for a future entry. This connection should be</w:t>
      </w:r>
      <w:r>
        <w:t xml:space="preserve"> </w:t>
      </w:r>
      <w:r>
        <w:rPr>
          <w:i/>
          <w:iCs/>
        </w:rPr>
        <w:t xml:space="preserve">qualified</w:t>
      </w:r>
      <w:r>
        <w:t xml:space="preserve"> </w:t>
      </w:r>
      <w:r>
        <w:t xml:space="preserve">rather than refuted. The text’s explicit statement is that the gate is shut because the LORD God of Israel has entered by it (v. 2) — it is a memorial of divine arrival, not primarily a prediction of a future messianic entry. The messianic resonance is not impossible within a canonical reading, but it should not govern the primary exposition of the verse, which is about the sanctity of the threshold through which the divine glory passed. The Reformed reading rightly centers the gate’s closure as a statement about God’s exclusive and inalienable claim on the space His glory has consecrated.</w:t>
      </w:r>
    </w:p>
    <w:p>
      <w:pPr>
        <w:pStyle w:val="BodyText"/>
      </w:pPr>
      <w:r>
        <w:rPr>
          <w:b/>
          <w:bCs/>
        </w:rPr>
        <w:t xml:space="preserve">The Foreigners / Uncircumcised in Heart and Flesh (vv. 6–9):</w:t>
      </w:r>
      <w:r>
        <w:t xml:space="preserve"> </w:t>
      </w:r>
      <w:r>
        <w:t xml:space="preserve">Some dispensational interpreters have treated these verses as evidence that the future millennial temple will exclude Gentiles entirely from participation. This reading should be</w:t>
      </w:r>
      <w:r>
        <w:t xml:space="preserve"> </w:t>
      </w:r>
      <w:r>
        <w:rPr>
          <w:i/>
          <w:iCs/>
        </w:rPr>
        <w:t xml:space="preserve">qualified</w:t>
      </w:r>
      <w:r>
        <w:t xml:space="preserve">. The passage addresses a specific historical failure — allowing uncircumcised foreigners (likely the Gibeonites or similar groups, and perhaps foreign mercenaries) to perform sacred duties within the sanctuary. The text’s concern is heart-circumcision and covenant fidelity, not ethnic exclusion. In the broader canonical context, Gentiles who are circumcised in heart (Deuteronomy 10:16; Romans 2:29; Philippians 3:3) are not in view here as the problem. The Reformed reading distinguishes between ethnic foreignness and covenantal unfaithfulness — the indictment is against admitting those who are not in covenant relationship with the LORD to serve in His house, not a permanent Gentile exclusion.</w:t>
      </w:r>
    </w:p>
    <w:p>
      <w:pPr>
        <w:pStyle w:val="BodyText"/>
      </w:pPr>
      <w:r>
        <w:rPr>
          <w:b/>
          <w:bCs/>
        </w:rPr>
        <w:t xml:space="preserve">The Levitical Demotion (vv. 10–14):</w:t>
      </w:r>
      <w:r>
        <w:t xml:space="preserve"> </w:t>
      </w:r>
      <w:r>
        <w:t xml:space="preserve">Some Wesleyan and Arminian expositors see the Levites’ demotion as evidence of forfeitable standing before God, supporting a broader theology of conditional eternal security. This reading should be</w:t>
      </w:r>
      <w:r>
        <w:t xml:space="preserve"> </w:t>
      </w:r>
      <w:r>
        <w:rPr>
          <w:i/>
          <w:iCs/>
        </w:rPr>
        <w:t xml:space="preserve">refuted</w:t>
      </w:r>
      <w:r>
        <w:t xml:space="preserve"> </w:t>
      </w:r>
      <w:r>
        <w:t xml:space="preserve">as an over-read of this text. The passage is addressing covenantal office and ministerial privilege, not the eternal standing of individual souls. The Levites are not excluded from Israel’s covenant community — they are demoted within the structure of temple service because their corporate history of leading Israel into idolatry disqualified them from the most sacred duties. This is a passage about accountability within God’s household, not about the security of individual salvation. The Reformed reading rightly applies this as corporate and institutional accountability — it speaks to what happens to those who hold spiritual office carelessly, not to the eternal standing of believers.</w:t>
      </w:r>
    </w:p>
    <w:p>
      <w:pPr>
        <w:pStyle w:val="BodyText"/>
      </w:pPr>
      <w:r>
        <w:rPr>
          <w:b/>
          <w:bCs/>
        </w:rPr>
        <w:t xml:space="preserve">The Zadokite Confirmation (vv. 15–16):</w:t>
      </w:r>
      <w:r>
        <w:t xml:space="preserve"> </w:t>
      </w:r>
      <w:r>
        <w:t xml:space="preserve">The Zadokite priests’ vindication raises the question of merit — are they rewarded for their faithfulness? Some expositors have read this in a synergistic direction (faithfulness earns access). The Reformed reading rightly notes that the Zadokites’ faithfulness is not the meritorious ground of their access — God is not establishing a works-righteousness principle but rather a sanctification principle: those who have guarded the character of the LORD’s house are equipped and qualified to serve within it. The ground of their access remains the LORD’s own appointment; their faithfulness is the demonstrated fitness, not the ultimate cause.</w:t>
      </w:r>
    </w:p>
    <w:p>
      <w:pPr>
        <w:pStyle w:val="BodyText"/>
      </w:pPr>
      <w:r>
        <w:rPr>
          <w:b/>
          <w:bCs/>
        </w:rPr>
        <w:t xml:space="preserve">The Detailed Regulations (vv. 17–31):</w:t>
      </w:r>
      <w:r>
        <w:t xml:space="preserve"> </w:t>
      </w:r>
      <w:r>
        <w:t xml:space="preserve">Some interpreters (particularly those with a literalist-dispensational framework) treat these regulations as requiring literal future reinstatement in a millennial temple, including the sin offerings of 45:17–25. This is a complex canonical question. The Reformed reading, following the New Testament’s treatment of the Levitical system as fulfilled in Christ (Hebrews 7–10), understands these chapters as portraying the fullness of restored worship in an idealized form — the precision and completeness of these regulations communicate theological truth about the character of worship God accepts, not a future literal reinstatement of a sacrificial system superseded in Christ. The specific regulations here function as enacted theology: they dramatize separation from defilement, total devotion to the LORD, and the cost of mediating between the holy and the common.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10:1–11</w:t>
      </w:r>
      <w:r>
        <w:t xml:space="preserve"> </w:t>
      </w:r>
      <w:r>
        <w:t xml:space="preserve">— Nadab and Abihu’s unauthorized fire establishes the principle that proximity to God’s presence demands strict obedience;</w:t>
      </w:r>
      <w:r>
        <w:t xml:space="preserve"> </w:t>
      </w:r>
      <w:r>
        <w:t xml:space="preserve">“among those who are near me I will be treated as holy.”</w:t>
      </w:r>
      <w:r>
        <w:t xml:space="preserve"> </w:t>
      </w:r>
      <w:r>
        <w:t xml:space="preserve">Directly grounds Ezekiel 44’s governing logic.</w:t>
      </w:r>
    </w:p>
    <w:p>
      <w:pPr>
        <w:numPr>
          <w:ilvl w:val="0"/>
          <w:numId w:val="1001"/>
        </w:numPr>
      </w:pPr>
      <w:r>
        <w:rPr>
          <w:b/>
          <w:bCs/>
        </w:rPr>
        <w:t xml:space="preserve">Numbers 18:1–7</w:t>
      </w:r>
      <w:r>
        <w:t xml:space="preserve"> </w:t>
      </w:r>
      <w:r>
        <w:t xml:space="preserve">— The original assignment of Levitical duties versus priestly duties establishes the distinction Ezekiel 44 restores and sharpens; the Zadokite vindication is a restoration of the Numbers principle that was violated during Israel’s apostasy.</w:t>
      </w:r>
    </w:p>
    <w:p>
      <w:pPr>
        <w:numPr>
          <w:ilvl w:val="0"/>
          <w:numId w:val="1001"/>
        </w:numPr>
      </w:pPr>
      <w:r>
        <w:rPr>
          <w:b/>
          <w:bCs/>
        </w:rPr>
        <w:t xml:space="preserve">1 Samuel 2:27–36</w:t>
      </w:r>
      <w:r>
        <w:t xml:space="preserve"> </w:t>
      </w:r>
      <w:r>
        <w:t xml:space="preserve">— The judgment on the house of Eli for profaning the LORD’s service —</w:t>
      </w:r>
      <w:r>
        <w:t xml:space="preserve"> </w:t>
      </w:r>
      <w:r>
        <w:t xml:space="preserve">“those who honor me I will honor, and those who despise me shall be lightly esteemed”</w:t>
      </w:r>
      <w:r>
        <w:t xml:space="preserve"> </w:t>
      </w:r>
      <w:r>
        <w:t xml:space="preserve">— is the direct Old Testament parallel to the Levitical demotion and Zadokite vindication in this chapter.</w:t>
      </w:r>
    </w:p>
    <w:p>
      <w:pPr>
        <w:numPr>
          <w:ilvl w:val="0"/>
          <w:numId w:val="1001"/>
        </w:numPr>
      </w:pPr>
      <w:r>
        <w:rPr>
          <w:b/>
          <w:bCs/>
        </w:rPr>
        <w:t xml:space="preserve">Hebrews 10:19–22</w:t>
      </w:r>
      <w:r>
        <w:t xml:space="preserve"> </w:t>
      </w:r>
      <w:r>
        <w:t xml:space="preserve">— The New Testament fulfillment of the access principle: through Christ’s blood, the way into the Most Holy Place is now open; the conditions for access are met in Him, not by priestly lineage. This canonically grounds what Ezekiel 44 points toward without replacing its theological weight.</w:t>
      </w:r>
    </w:p>
    <w:p>
      <w:pPr>
        <w:numPr>
          <w:ilvl w:val="0"/>
          <w:numId w:val="1001"/>
        </w:numPr>
      </w:pPr>
      <w:r>
        <w:rPr>
          <w:b/>
          <w:bCs/>
        </w:rPr>
        <w:t xml:space="preserve">Revelation 21:27</w:t>
      </w:r>
      <w:r>
        <w:t xml:space="preserve"> </w:t>
      </w:r>
      <w:r>
        <w:t xml:space="preserve">—</w:t>
      </w:r>
      <w:r>
        <w:t xml:space="preserve"> </w:t>
      </w:r>
      <w:r>
        <w:t xml:space="preserve">“Nothing impure will ever enter it”</w:t>
      </w:r>
      <w:r>
        <w:t xml:space="preserve"> </w:t>
      </w:r>
      <w:r>
        <w:t xml:space="preserve">— the New Jerusalem carries forward Ezekiel 44’s governing logic: access to the presence of God remains conditioned on holiness, now fulfilled eschatologically in Christ and applied through the new birth.</w:t>
      </w:r>
    </w:p>
    <w:p>
      <w:r>
        <w:pict>
          <v:rect style="width:0;height:1.5pt" o:hralign="center" o:hrstd="t" o:hr="t"/>
        </w:pict>
      </w:r>
    </w:p>
    <w:p>
      <w:pPr>
        <w:pStyle w:val="FirstParagraph"/>
      </w:pPr>
      <w:r>
        <w:rPr>
          <w:b/>
          <w:bCs/>
        </w:rPr>
        <w:t xml:space="preserve">Aim:</w:t>
      </w:r>
      <w:r>
        <w:t xml:space="preserve"> </w:t>
      </w:r>
      <w:r>
        <w:t xml:space="preserve">To demonstrate that God’s call to holiness in the presence of His glory is not a bureaucratic regulation but a window into the nature of God Himself — and to confront every reader with the question of whether they are drawing near to God on His terms or on their 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east gate is permanently shut — the LORD entered through it</w:t>
            </w:r>
          </w:p>
        </w:tc>
        <w:tc>
          <w:tcPr/>
          <w:p>
            <w:pPr>
              <w:pStyle w:val="Compact"/>
            </w:pPr>
            <w:r>
              <w:t xml:space="preserve">Memorial of the divine glory’s return (43:1–4); sacred threshold principle</w:t>
            </w:r>
          </w:p>
        </w:tc>
      </w:tr>
      <w:tr>
        <w:tc>
          <w:tcPr/>
          <w:p>
            <w:pPr>
              <w:pStyle w:val="Compact"/>
            </w:pPr>
            <w:r>
              <w:t xml:space="preserve">3</w:t>
            </w:r>
          </w:p>
        </w:tc>
        <w:tc>
          <w:tcPr/>
          <w:p>
            <w:pPr>
              <w:pStyle w:val="Compact"/>
            </w:pPr>
            <w:r>
              <w:t xml:space="preserve">The prince may eat in the gate’s vestibule but may not pass through</w:t>
            </w:r>
          </w:p>
        </w:tc>
        <w:tc>
          <w:tcPr/>
          <w:p>
            <w:pPr>
              <w:pStyle w:val="Compact"/>
            </w:pPr>
            <w:r>
              <w:t xml:space="preserve">Highest human authority still subordinate to the LORD’s claim</w:t>
            </w:r>
          </w:p>
        </w:tc>
      </w:tr>
      <w:tr>
        <w:tc>
          <w:tcPr/>
          <w:p>
            <w:pPr>
              <w:pStyle w:val="Compact"/>
            </w:pPr>
            <w:r>
              <w:t xml:space="preserve">4–5</w:t>
            </w:r>
          </w:p>
        </w:tc>
        <w:tc>
          <w:tcPr/>
          <w:p>
            <w:pPr>
              <w:pStyle w:val="Compact"/>
            </w:pPr>
            <w:r>
              <w:t xml:space="preserve">Ezekiel brought to the north gate; sees the glory filling the temple; commanded to mark all the regulations</w:t>
            </w:r>
          </w:p>
        </w:tc>
        <w:tc>
          <w:tcPr/>
          <w:p>
            <w:pPr>
              <w:pStyle w:val="Compact"/>
            </w:pPr>
            <w:r>
              <w:t xml:space="preserve">Visionary commissioning — what follows is authoritative divine speech</w:t>
            </w:r>
          </w:p>
        </w:tc>
      </w:tr>
      <w:tr>
        <w:tc>
          <w:tcPr/>
          <w:p>
            <w:pPr>
              <w:pStyle w:val="Compact"/>
            </w:pPr>
            <w:r>
              <w:t xml:space="preserve">6–9</w:t>
            </w:r>
          </w:p>
        </w:tc>
        <w:tc>
          <w:tcPr/>
          <w:p>
            <w:pPr>
              <w:pStyle w:val="Compact"/>
            </w:pPr>
            <w:r>
              <w:t xml:space="preserve">Indictment of Israel: uncircumcised foreigners admitted to serve in the sanctuary — a profanation</w:t>
            </w:r>
          </w:p>
        </w:tc>
        <w:tc>
          <w:tcPr/>
          <w:p>
            <w:pPr>
              <w:pStyle w:val="Compact"/>
            </w:pPr>
            <w:r>
              <w:t xml:space="preserve">Corporate guilt; the problem is heart-circumcision, not ethnicity per se</w:t>
            </w:r>
          </w:p>
        </w:tc>
      </w:tr>
      <w:tr>
        <w:tc>
          <w:tcPr/>
          <w:p>
            <w:pPr>
              <w:pStyle w:val="Compact"/>
            </w:pPr>
            <w:r>
              <w:t xml:space="preserve">10–14</w:t>
            </w:r>
          </w:p>
        </w:tc>
        <w:tc>
          <w:tcPr/>
          <w:p>
            <w:pPr>
              <w:pStyle w:val="Compact"/>
            </w:pPr>
            <w:r>
              <w:t xml:space="preserve">The Levites who followed Israel into idolatry are demoted: gatekeeping and slaughter, but barred from altar and most holy things; they bear their iniquity</w:t>
            </w:r>
          </w:p>
        </w:tc>
        <w:tc>
          <w:tcPr/>
          <w:p>
            <w:pPr>
              <w:pStyle w:val="Compact"/>
            </w:pPr>
            <w:r>
              <w:t xml:space="preserve">Accountability within the covenant community; corporate consequence for corporate apostasy</w:t>
            </w:r>
          </w:p>
        </w:tc>
      </w:tr>
      <w:tr>
        <w:tc>
          <w:tcPr/>
          <w:p>
            <w:pPr>
              <w:pStyle w:val="Compact"/>
            </w:pPr>
            <w:r>
              <w:t xml:space="preserve">15–16</w:t>
            </w:r>
          </w:p>
        </w:tc>
        <w:tc>
          <w:tcPr/>
          <w:p>
            <w:pPr>
              <w:pStyle w:val="Compact"/>
            </w:pPr>
            <w:r>
              <w:t xml:space="preserve">The sons of Zadok who remained faithful are confirmed: they alone approach the LORD’s table, enter the inner court, minister at the altar</w:t>
            </w:r>
          </w:p>
        </w:tc>
        <w:tc>
          <w:tcPr/>
          <w:p>
            <w:pPr>
              <w:pStyle w:val="Compact"/>
            </w:pPr>
            <w:r>
              <w:t xml:space="preserve">Vindication of faithfulness; the positive side of the demotion principle</w:t>
            </w:r>
          </w:p>
        </w:tc>
      </w:tr>
      <w:tr>
        <w:tc>
          <w:tcPr/>
          <w:p>
            <w:pPr>
              <w:pStyle w:val="Compact"/>
            </w:pPr>
            <w:r>
              <w:t xml:space="preserve">17–18</w:t>
            </w:r>
          </w:p>
        </w:tc>
        <w:tc>
          <w:tcPr/>
          <w:p>
            <w:pPr>
              <w:pStyle w:val="Compact"/>
            </w:pPr>
            <w:r>
              <w:t xml:space="preserve">Linen garments in the inner court; no wool that causes sweat</w:t>
            </w:r>
          </w:p>
        </w:tc>
        <w:tc>
          <w:tcPr/>
          <w:p>
            <w:pPr>
              <w:pStyle w:val="Compact"/>
            </w:pPr>
            <w:r>
              <w:t xml:space="preserve">Separation from that which defiles; purity in the LORD’s presence</w:t>
            </w:r>
          </w:p>
        </w:tc>
      </w:tr>
      <w:tr>
        <w:tc>
          <w:tcPr/>
          <w:p>
            <w:pPr>
              <w:pStyle w:val="Compact"/>
            </w:pPr>
            <w:r>
              <w:t xml:space="preserve">19</w:t>
            </w:r>
          </w:p>
        </w:tc>
        <w:tc>
          <w:tcPr/>
          <w:p>
            <w:pPr>
              <w:pStyle w:val="Compact"/>
            </w:pPr>
            <w:r>
              <w:t xml:space="preserve">Change garments when going to the outer court — do not consecrate the people with holy garments</w:t>
            </w:r>
          </w:p>
        </w:tc>
        <w:tc>
          <w:tcPr/>
          <w:p>
            <w:pPr>
              <w:pStyle w:val="Compact"/>
            </w:pPr>
            <w:r>
              <w:t xml:space="preserve">Boundary-keeping between holy and common; holiness is not to be treated casually</w:t>
            </w:r>
          </w:p>
        </w:tc>
      </w:tr>
      <w:tr>
        <w:tc>
          <w:tcPr/>
          <w:p>
            <w:pPr>
              <w:pStyle w:val="Compact"/>
            </w:pPr>
            <w:r>
              <w:t xml:space="preserve">20</w:t>
            </w:r>
          </w:p>
        </w:tc>
        <w:tc>
          <w:tcPr/>
          <w:p>
            <w:pPr>
              <w:pStyle w:val="Compact"/>
            </w:pPr>
            <w:r>
              <w:t xml:space="preserve">Neither shave heads nor let hair grow long — trim it</w:t>
            </w:r>
          </w:p>
        </w:tc>
        <w:tc>
          <w:tcPr/>
          <w:p>
            <w:pPr>
              <w:pStyle w:val="Compact"/>
            </w:pPr>
            <w:r>
              <w:t xml:space="preserve">Separation from both pagan mourning rites and Nazirite vow extremes</w:t>
            </w:r>
          </w:p>
        </w:tc>
      </w:tr>
      <w:tr>
        <w:tc>
          <w:tcPr/>
          <w:p>
            <w:pPr>
              <w:pStyle w:val="Compact"/>
            </w:pPr>
            <w:r>
              <w:t xml:space="preserve">21</w:t>
            </w:r>
          </w:p>
        </w:tc>
        <w:tc>
          <w:tcPr/>
          <w:p>
            <w:pPr>
              <w:pStyle w:val="Compact"/>
            </w:pPr>
            <w:r>
              <w:t xml:space="preserve">No wine before entering the inner court</w:t>
            </w:r>
          </w:p>
        </w:tc>
        <w:tc>
          <w:tcPr/>
          <w:p>
            <w:pPr>
              <w:pStyle w:val="Compact"/>
            </w:pPr>
            <w:r>
              <w:t xml:space="preserve">Full sobriety in the LORD’s service</w:t>
            </w:r>
          </w:p>
        </w:tc>
      </w:tr>
      <w:tr>
        <w:tc>
          <w:tcPr/>
          <w:p>
            <w:pPr>
              <w:pStyle w:val="Compact"/>
            </w:pPr>
            <w:r>
              <w:t xml:space="preserve">22</w:t>
            </w:r>
          </w:p>
        </w:tc>
        <w:tc>
          <w:tcPr/>
          <w:p>
            <w:pPr>
              <w:pStyle w:val="Compact"/>
            </w:pPr>
            <w:r>
              <w:t xml:space="preserve">Marriage regulations: no widow (except a priest’s widow) or divorced woman — only virgins of Israel or priestly widows</w:t>
            </w:r>
          </w:p>
        </w:tc>
        <w:tc>
          <w:tcPr/>
          <w:p>
            <w:pPr>
              <w:pStyle w:val="Compact"/>
            </w:pPr>
            <w:r>
              <w:t xml:space="preserve">Embodied holiness in domestic life; the priest’s whole life is set apart</w:t>
            </w:r>
          </w:p>
        </w:tc>
      </w:tr>
      <w:tr>
        <w:tc>
          <w:tcPr/>
          <w:p>
            <w:pPr>
              <w:pStyle w:val="Compact"/>
            </w:pPr>
            <w:r>
              <w:t xml:space="preserve">23</w:t>
            </w:r>
          </w:p>
        </w:tc>
        <w:tc>
          <w:tcPr/>
          <w:p>
            <w:pPr>
              <w:pStyle w:val="Compact"/>
            </w:pPr>
            <w:r>
              <w:t xml:space="preserve">Priests must teach Israel the difference between holy and common, clean and unclean</w:t>
            </w:r>
          </w:p>
        </w:tc>
        <w:tc>
          <w:tcPr/>
          <w:p>
            <w:pPr>
              <w:pStyle w:val="Compact"/>
            </w:pPr>
            <w:r>
              <w:t xml:space="preserve">Teaching function of the priesthood — not just ritual but instruction</w:t>
            </w:r>
          </w:p>
        </w:tc>
      </w:tr>
      <w:tr>
        <w:tc>
          <w:tcPr/>
          <w:p>
            <w:pPr>
              <w:pStyle w:val="Compact"/>
            </w:pPr>
            <w:r>
              <w:t xml:space="preserve">24</w:t>
            </w:r>
          </w:p>
        </w:tc>
        <w:tc>
          <w:tcPr/>
          <w:p>
            <w:pPr>
              <w:pStyle w:val="Compact"/>
            </w:pPr>
            <w:r>
              <w:t xml:space="preserve">Act as judges; keep the LORD’s laws and statutes; hallow the Sabbaths</w:t>
            </w:r>
          </w:p>
        </w:tc>
        <w:tc>
          <w:tcPr/>
          <w:p>
            <w:pPr>
              <w:pStyle w:val="Compact"/>
            </w:pPr>
            <w:r>
              <w:t xml:space="preserve">Judicial and Sabbath-keeping function; the priest as guardian of covenant order</w:t>
            </w:r>
          </w:p>
        </w:tc>
      </w:tr>
      <w:tr>
        <w:tc>
          <w:tcPr/>
          <w:p>
            <w:pPr>
              <w:pStyle w:val="Compact"/>
            </w:pPr>
            <w:r>
              <w:t xml:space="preserve">25–27</w:t>
            </w:r>
          </w:p>
        </w:tc>
        <w:tc>
          <w:tcPr/>
          <w:p>
            <w:pPr>
              <w:pStyle w:val="Compact"/>
            </w:pPr>
            <w:r>
              <w:t xml:space="preserve">Corpse defilement regulations: only for immediate family; purification period of seven days plus offerings</w:t>
            </w:r>
          </w:p>
        </w:tc>
        <w:tc>
          <w:tcPr/>
          <w:p>
            <w:pPr>
              <w:pStyle w:val="Compact"/>
            </w:pPr>
            <w:r>
              <w:t xml:space="preserve">Defilement is real; even legitimate defilement requires consecration before return to ministry</w:t>
            </w:r>
          </w:p>
        </w:tc>
      </w:tr>
      <w:tr>
        <w:tc>
          <w:tcPr/>
          <w:p>
            <w:pPr>
              <w:pStyle w:val="Compact"/>
            </w:pPr>
            <w:r>
              <w:t xml:space="preserve">28</w:t>
            </w:r>
          </w:p>
        </w:tc>
        <w:tc>
          <w:tcPr/>
          <w:p>
            <w:pPr>
              <w:pStyle w:val="Compact"/>
            </w:pPr>
            <w:r>
              <w:t xml:space="preserve">The LORD is their inheritance — no land allotment</w:t>
            </w:r>
          </w:p>
        </w:tc>
        <w:tc>
          <w:tcPr/>
          <w:p>
            <w:pPr>
              <w:pStyle w:val="Compact"/>
            </w:pPr>
            <w:r>
              <w:t xml:space="preserve">Total dependence on and devotion to the LORD; no competing claim</w:t>
            </w:r>
          </w:p>
        </w:tc>
      </w:tr>
      <w:tr>
        <w:tc>
          <w:tcPr/>
          <w:p>
            <w:pPr>
              <w:pStyle w:val="Compact"/>
            </w:pPr>
            <w:r>
              <w:t xml:space="preserve">29–30</w:t>
            </w:r>
          </w:p>
        </w:tc>
        <w:tc>
          <w:tcPr/>
          <w:p>
            <w:pPr>
              <w:pStyle w:val="Compact"/>
            </w:pPr>
            <w:r>
              <w:t xml:space="preserve">They eat the grain, sin, and guilt offerings; all firstfruits and dedicated things belong to them</w:t>
            </w:r>
          </w:p>
        </w:tc>
        <w:tc>
          <w:tcPr/>
          <w:p>
            <w:pPr>
              <w:pStyle w:val="Compact"/>
            </w:pPr>
            <w:r>
              <w:t xml:space="preserve">Priestly provision through the people’s offerings; the firstfruits principle</w:t>
            </w:r>
          </w:p>
        </w:tc>
      </w:tr>
      <w:tr>
        <w:tc>
          <w:tcPr/>
          <w:p>
            <w:pPr>
              <w:pStyle w:val="Compact"/>
            </w:pPr>
            <w:r>
              <w:t xml:space="preserve">31</w:t>
            </w:r>
          </w:p>
        </w:tc>
        <w:tc>
          <w:tcPr/>
          <w:p>
            <w:pPr>
              <w:pStyle w:val="Compact"/>
            </w:pPr>
            <w:r>
              <w:t xml:space="preserve">They may not eat any bird or animal that dies naturally or is torn</w:t>
            </w:r>
          </w:p>
        </w:tc>
        <w:tc>
          <w:tcPr/>
          <w:p>
            <w:pPr>
              <w:pStyle w:val="Compact"/>
            </w:pPr>
            <w:r>
              <w:t xml:space="preserve">Even diet reflects separation; holiness permeates every domain of life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Shut Gate: The LORD’s Exclusive Claim on His Threshold</w:t>
            </w:r>
          </w:p>
        </w:tc>
      </w:tr>
      <w:tr>
        <w:tc>
          <w:tcPr/>
          <w:p>
            <w:pPr>
              <w:pStyle w:val="Compact"/>
            </w:pPr>
            <w:r>
              <w:t xml:space="preserve">2</w:t>
            </w:r>
          </w:p>
        </w:tc>
        <w:tc>
          <w:tcPr/>
          <w:p>
            <w:pPr>
              <w:pStyle w:val="Compact"/>
            </w:pPr>
            <w:r>
              <w:t xml:space="preserve">4–9</w:t>
            </w:r>
          </w:p>
        </w:tc>
        <w:tc>
          <w:tcPr/>
          <w:p>
            <w:pPr>
              <w:pStyle w:val="Compact"/>
            </w:pPr>
            <w:r>
              <w:t xml:space="preserve">The Indictment: Profaning the Sanctuary by Admitting the Unconsecrated</w:t>
            </w:r>
          </w:p>
        </w:tc>
      </w:tr>
      <w:tr>
        <w:tc>
          <w:tcPr/>
          <w:p>
            <w:pPr>
              <w:pStyle w:val="Compact"/>
            </w:pPr>
            <w:r>
              <w:t xml:space="preserve">3</w:t>
            </w:r>
          </w:p>
        </w:tc>
        <w:tc>
          <w:tcPr/>
          <w:p>
            <w:pPr>
              <w:pStyle w:val="Compact"/>
            </w:pPr>
            <w:r>
              <w:t xml:space="preserve">10–14</w:t>
            </w:r>
          </w:p>
        </w:tc>
        <w:tc>
          <w:tcPr/>
          <w:p>
            <w:pPr>
              <w:pStyle w:val="Compact"/>
            </w:pPr>
            <w:r>
              <w:t xml:space="preserve">The Demotion: Levitical Unfaithfulness Bears Its Consequence</w:t>
            </w:r>
          </w:p>
        </w:tc>
      </w:tr>
      <w:tr>
        <w:tc>
          <w:tcPr/>
          <w:p>
            <w:pPr>
              <w:pStyle w:val="Compact"/>
            </w:pPr>
            <w:r>
              <w:t xml:space="preserve">4</w:t>
            </w:r>
          </w:p>
        </w:tc>
        <w:tc>
          <w:tcPr/>
          <w:p>
            <w:pPr>
              <w:pStyle w:val="Compact"/>
            </w:pPr>
            <w:r>
              <w:t xml:space="preserve">15–16</w:t>
            </w:r>
          </w:p>
        </w:tc>
        <w:tc>
          <w:tcPr/>
          <w:p>
            <w:pPr>
              <w:pStyle w:val="Compact"/>
            </w:pPr>
            <w:r>
              <w:t xml:space="preserve">The Vindication: Zadokite Faithfulness Is Remembered and Confirmed</w:t>
            </w:r>
          </w:p>
        </w:tc>
      </w:tr>
      <w:tr>
        <w:tc>
          <w:tcPr/>
          <w:p>
            <w:pPr>
              <w:pStyle w:val="Compact"/>
            </w:pPr>
            <w:r>
              <w:t xml:space="preserve">5</w:t>
            </w:r>
          </w:p>
        </w:tc>
        <w:tc>
          <w:tcPr/>
          <w:p>
            <w:pPr>
              <w:pStyle w:val="Compact"/>
            </w:pPr>
            <w:r>
              <w:t xml:space="preserve">17–31</w:t>
            </w:r>
          </w:p>
        </w:tc>
        <w:tc>
          <w:tcPr/>
          <w:p>
            <w:pPr>
              <w:pStyle w:val="Compact"/>
            </w:pPr>
            <w:r>
              <w:t xml:space="preserve">The Regulations: Holiness Governing Every Dimension of Priestly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regulates access to His restored presence strictly, vindicating faithfulness and judging unfaithfulness in His house.</w:t>
      </w:r>
    </w:p>
    <w:p>
      <w:pPr>
        <w:pStyle w:val="BodyText"/>
      </w:pPr>
      <w:r>
        <w:rPr>
          <w:b/>
          <w:bCs/>
        </w:rPr>
        <w:t xml:space="preserve">Primary Claim:</w:t>
      </w:r>
      <w:r>
        <w:t xml:space="preserve"> </w:t>
      </w:r>
      <w:r>
        <w:t xml:space="preserve">God is asserting that proximity to His presence is not a right but a gift governed by faithfulness and holiness — and He is calling His people to take His holiness with absolute seriousness while trusting that those who remain faithful to Him in a compromised generation will not be forgotten.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Reckon with the seriousness of God’s holiness as a permanent feature of His character, not an Old Testament artifact.</w:t>
      </w:r>
      <w:r>
        <w:t xml:space="preserve"> </w:t>
      </w:r>
      <w:r>
        <w:t xml:space="preserve">The shut east gate is not a curiosity of ancient Israelite temple architecture — it is a visible statement about the character of the living God: when He has claimed a space, when His glory has passed through a threshold, that threshold is no longer casual territory. Many Christians functionally treat access to God as an entitlement — something they have secured and can now operate on their own terms. This passage demands a reckoning: the God who permanently shut the gate through which His glory entered is the same God who, in Christ, opened a new and living way (Hebrews 10:20) — but who opened it at a cost that reveals how serious the access problem always was. Do not domesticate the holiness of God into comfortable familiarity. Reframe your understanding of what it means to draw near to Him.</w:t>
      </w:r>
    </w:p>
    <w:p>
      <w:pPr>
        <w:pStyle w:val="BodyText"/>
      </w:pPr>
      <w:r>
        <w:rPr>
          <w:b/>
          <w:bCs/>
        </w:rPr>
        <w:t xml:space="preserve">2. (Affections/Worship) — Let the Zadokite vindication produce confidence and joy in those who have held fast to the LORD when the surrounding culture — including the surrounding church culture — was compromising.</w:t>
      </w:r>
      <w:r>
        <w:t xml:space="preserve"> </w:t>
      </w:r>
      <w:r>
        <w:t xml:space="preserve">The Zadokites are not heroes of dramatic action. They are simply the priests who did not go along with what everyone else was doing. Their vindication here is God saying, publicly and permanently:</w:t>
      </w:r>
      <w:r>
        <w:t xml:space="preserve"> </w:t>
      </w:r>
      <w:r>
        <w:rPr>
          <w:i/>
          <w:iCs/>
        </w:rPr>
        <w:t xml:space="preserve">I saw it. I remember it. It mattered.</w:t>
      </w:r>
      <w:r>
        <w:t xml:space="preserve"> </w:t>
      </w:r>
      <w:r>
        <w:t xml:space="preserve">Many believers have experienced the quiet cost of refusing to follow spiritual communities into compromise — the social friction, the accusation of rigidity, the loneliness. This passage is designed to produce in those people not pride but settled joy: the LORD of the restored temple is the same LORD who kept a record of the Zadokites’ faithfulness when no human audience was watching. Worship Him as the God who notices and vindicates.</w:t>
      </w:r>
    </w:p>
    <w:p>
      <w:pPr>
        <w:pStyle w:val="BodyText"/>
      </w:pPr>
      <w:r>
        <w:rPr>
          <w:b/>
          <w:bCs/>
        </w:rPr>
        <w:t xml:space="preserve">3. (Will/Behavior) — Examine whether your approach to corporate worship treats God’s presence as holy or as customary.</w:t>
      </w:r>
      <w:r>
        <w:t xml:space="preserve"> </w:t>
      </w:r>
      <w:r>
        <w:t xml:space="preserve">The Levites were not pagans — they were Israel’s designated spiritual tribe, the people appointed for proximity to the holy. Their failure was treating the holy as manageable, ordinary, politically negotiable. The specific sin was admitting the uncircumcised to serve in the sanctuary. For a contemporary congregation, the application is not about literal gatekeeping but about whether the worship of the gathered church is ordered by a seriousness about God’s presence or by pragmatic accommodation to what is culturally accessible or institutionally convenient. Concretely: is the LORD’s Day treated as the Sabbath of the LORD, or as a cultural event? Is the Lord’s Supper approached with discernment (1 Corinthians 11:27–29), or distributed casually? Does the content of teaching make careful distinctions between holy and common (v. 23), or has everything been flattened into whatever is immediately engaging?</w:t>
      </w:r>
    </w:p>
    <w:p>
      <w:pPr>
        <w:pStyle w:val="BodyText"/>
      </w:pPr>
      <w:r>
        <w:rPr>
          <w:b/>
          <w:bCs/>
        </w:rPr>
        <w:t xml:space="preserve">4. (Mind/Belief) — Understand that the priestly regulations of verses 17–31 are not arbitrary ceremonial law but enacted theology — each regulation communicates something true about the nature of serving a holy God.</w:t>
      </w:r>
      <w:r>
        <w:t xml:space="preserve"> </w:t>
      </w:r>
      <w:r>
        <w:t xml:space="preserve">No sweat-producing wool, no wine, no corpse-defilement, linen only, the LORD as inheritance and not land — these regulations form a coherent picture: the priest who serves in the LORD’s presence must be wholly oriented toward that presence, unclouded, unencumbered, unstained. The New Testament fulfillment does not eliminate this theology — it intensifies it. The believer-priest (1 Peter 2:9) is called to present his body as a living sacrifice, holy and acceptable (Romans 12:1). The priest’s entire life — garments, diet, marriage, hair, drink — was enrolled in the service of the LORD. The question is not whether Christians must follow Levitical dress codes. The question is whether we understand that our whole lives are now the temple, and holiness is not a department of life but its entire orientation.</w:t>
      </w:r>
    </w:p>
    <w:p>
      <w:pPr>
        <w:pStyle w:val="BodyText"/>
      </w:pPr>
      <w:r>
        <w:rPr>
          <w:b/>
          <w:bCs/>
        </w:rPr>
        <w:t xml:space="preserve">5. (Affections/Worship) — Grieve the ways the people of God have historically — and still do — treat access to God’s presence as something that can be managed around or staffed by the uncommitted.</w:t>
      </w:r>
      <w:r>
        <w:t xml:space="preserve"> </w:t>
      </w:r>
      <w:r>
        <w:t xml:space="preserve">The LORD’s indictment in verses 6–9 is blunt: Israel profaned the sanctuary by admitting those who were uncircumcised in heart. This is not primarily a gatekeeping failure — it is a failure of love for God’s house. When God’s people no longer care enough about the holiness of His presence to protect it from casual mishandling, something deep has gone wrong in their affections. They have stopped being jealous for His name. The response this text calls for is not a program of ecclesiastical reform (though that may follow) but a grief that the LORD’s house has been treated as a common thing, and a rekindled desire — not for institutional purity as an end in itself but for the LORD whose presence makes the house holy.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44 teaches that the holiness of God is not merely an attribute among others but the governing condition for all access to His presence — and that this condition does not relax when times are difficult or when compromises are widespread. The chapter reveals a God who tracks the history of faithfulness and unfaithfulness within His household and who structures the terms of ministry around that history: the Levitical demotion and Zadokite vindication are both acts of divine justice and divine memory. The chapter also teaches that holiness is total and pervasive — it is not compartmentalized into rituals but governs garments, diet, marriage, grief, and speech. God is not interested in a priestly caste that performs sacred duties while living common lives; He claims the whole person, the whole life, the whole calendar of the one who serves in His presence.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contributes directly to the Reformed understanding of the holiness of God as the irreducible foundation of worship, covenant, and the gospel itself. The fact that access to the restored presence requires such comprehensive holiness explains why the gospel must be what it is — only an imputed righteousness and an applied sanctification of the Spirit could ever qualify anyone for true priestly access to the holy God. The Zadokite vindication prefigures the logic of grace operative in justification: God vindicates those who hold fast to Him not on the grounds of perfect performance but on the grounds of covenantal fidelity — which itself is a gift of His Spirit. The detailed regulations of verses 17–31 ground the Reformed emphasis on the totality of sanctification: not a transaction of spiritual duties but a whole-life consecration to the LORD who is the priest’s portion and inheritance. The shut east gate — the threshold preserved because the divine glory passed through it — anticipates the logic of Christ as the exclusive way of access to the Father (John 14:6), the one through whom the glory has entered human history and who cannot be bypassed or supplemented.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takes His own holiness with absolute seriousness — and the restored worship of Ezekiel 44 is not a relaxation of that seriousness but its fullest expression. You cannot approach Him on your own terms, at your own convenience, with an uncommitted heart, while living a life divided between His service and your own. But the same chapter that closes a gate also vindicates the Zadokites who held fast in a generation of widespread compromise — which means the God who demands holiness is the same God who sees, remembers, and honors faithfulness when no one else is watching. Draw near on His terms. Hold fast when the community around you does not. He notices.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irrelevant because it is</w:t>
      </w:r>
      <w:r>
        <w:rPr>
          <w:b/>
          <w:bCs/>
        </w:rPr>
        <w:t xml:space="preserve"> </w:t>
      </w:r>
      <w:r>
        <w:rPr>
          <w:b/>
          <w:bCs/>
        </w:rPr>
        <w:t xml:space="preserve">“Old Testament ceremonial law.”</w:t>
      </w:r>
      <w:r>
        <w:t xml:space="preserve"> </w:t>
      </w:r>
      <w:r>
        <w:t xml:space="preserve">This is the most common dismissal of Ezekiel 40–48 as a whole and it produces a failure to reckon with the theological weight of the material. The regulations here are not arbitrary rituals — they are enacted theology communicating enduring truths about God’s holiness, the cost of access to His presence, and the comprehensive nature of consecration. The New Testament does not render this chapter’s theology obsolete — it fulfills it in Christ and applies it to the whole people of God as a royal priesthood. Preach what the text is teaching about the character of God, not just its ceremonial surface.</w:t>
      </w:r>
    </w:p>
    <w:p>
      <w:pPr>
        <w:numPr>
          <w:ilvl w:val="0"/>
          <w:numId w:val="1002"/>
        </w:numPr>
      </w:pPr>
      <w:r>
        <w:rPr>
          <w:b/>
          <w:bCs/>
        </w:rPr>
        <w:t xml:space="preserve">Preaching the Zadokite vindication as a model of merit-based reward.</w:t>
      </w:r>
      <w:r>
        <w:t xml:space="preserve"> </w:t>
      </w:r>
      <w:r>
        <w:t xml:space="preserve">The temptation is to preach:</w:t>
      </w:r>
      <w:r>
        <w:t xml:space="preserve"> </w:t>
      </w:r>
      <w:r>
        <w:t xml:space="preserve">“Be faithful like the Zadokites and God will reward you.”</w:t>
      </w:r>
      <w:r>
        <w:t xml:space="preserve"> </w:t>
      </w:r>
      <w:r>
        <w:t xml:space="preserve">This collapses into moralism and misses the text’s actual theological logic. The Zadokites are vindicated because faithfulness demonstrated genuine covenant orientation — the fit between their character and their office. Their vindication is not a wage but a confirmation. Preach it as a word of encouragement to the faithful remnant, grounded in God’s character as the one who sees and remembers, not as a formula for earning spiritual privilege.</w:t>
      </w:r>
    </w:p>
    <w:p>
      <w:pPr>
        <w:numPr>
          <w:ilvl w:val="0"/>
          <w:numId w:val="1002"/>
        </w:numPr>
      </w:pPr>
      <w:r>
        <w:rPr>
          <w:b/>
          <w:bCs/>
        </w:rPr>
        <w:t xml:space="preserve">Allegorizing the shut east gate in ways that lose its primary force.</w:t>
      </w:r>
      <w:r>
        <w:t xml:space="preserve"> </w:t>
      </w:r>
      <w:r>
        <w:t xml:space="preserve">The gate’s closure as a memorial of the LORD’s exclusive entry through that threshold has been allegorized in many directions — messianic gates, sealed wombs, Mary’s perpetual virginity (in medieval Catholic interpretation), and various eschatological predictions. While canonical resonances exist (the exclusivity of Christ as the way of access), these readings should not replace the text’s primary statement: the gate is shut because the LORD has claimed it. The primary exposition should establish this before any canonical or typological extensions are drawn.</w:t>
      </w:r>
    </w:p>
    <w:p>
      <w:pPr>
        <w:numPr>
          <w:ilvl w:val="0"/>
          <w:numId w:val="1002"/>
        </w:numPr>
      </w:pPr>
      <w:r>
        <w:rPr>
          <w:b/>
          <w:bCs/>
        </w:rPr>
        <w:t xml:space="preserve">Missing the corporate dimension of the Levitical indictment.</w:t>
      </w:r>
      <w:r>
        <w:t xml:space="preserve"> </w:t>
      </w:r>
      <w:r>
        <w:t xml:space="preserve">The failure in verses 6–9 is a corporate, institutional failure — leaders admitted the wrong people to serve in the sanctuary. This is not primarily a text about individual spirituality. Its application includes the corporate life of the church: who is allowed to teach, to lead worship, to exercise authority in the congregation. A congregation that has lost its discernment about who handles holy things has repeated the Levitical failure. Preach the corporate application without reducing it to a platform for internal church politics.</w:t>
      </w:r>
    </w:p>
    <w:p>
      <w:pPr>
        <w:numPr>
          <w:ilvl w:val="0"/>
          <w:numId w:val="1002"/>
        </w:numPr>
      </w:pPr>
      <w:r>
        <w:rPr>
          <w:b/>
          <w:bCs/>
        </w:rPr>
        <w:t xml:space="preserve">Neglecting the</w:t>
      </w:r>
      <w:r>
        <w:rPr>
          <w:b/>
          <w:bCs/>
        </w:rPr>
        <w:t xml:space="preserve"> </w:t>
      </w:r>
      <w:r>
        <w:rPr>
          <w:b/>
          <w:bCs/>
        </w:rPr>
        <w:t xml:space="preserve">“LORD is their inheritance”</w:t>
      </w:r>
      <w:r>
        <w:rPr>
          <w:b/>
          <w:bCs/>
        </w:rPr>
        <w:t xml:space="preserve"> </w:t>
      </w:r>
      <w:r>
        <w:rPr>
          <w:b/>
          <w:bCs/>
        </w:rPr>
        <w:t xml:space="preserve">principle (v. 28).</w:t>
      </w:r>
      <w:r>
        <w:t xml:space="preserve"> </w:t>
      </w:r>
      <w:r>
        <w:t xml:space="preserve">This is one of the most theologically loaded statements in the chapter and it is frequently passed over in favor of the more dramatic access regulations. The Zadokite priests receive no land — the LORD Himself is their portion. This is the same language as Psalm 16:5–6, Psalm 73:26, and ultimately the entire orientation of the New Testament believer (Colossians 3:1–4). The priest who has the LORD as his inheritance is free from the competition between God and possessions that corrupts every other relationship. Preach this as the positive vision the chapter is building toward, not just a footnote about economic arrangements.</w:t>
      </w:r>
    </w:p>
    <w:p>
      <w:pPr>
        <w:numPr>
          <w:ilvl w:val="0"/>
          <w:numId w:val="1002"/>
        </w:numPr>
      </w:pPr>
      <w:r>
        <w:rPr>
          <w:b/>
          <w:bCs/>
        </w:rPr>
        <w:t xml:space="preserve">Failing to connect the holiness regulations to the New Testament’s priestly theology of the whole people of God.</w:t>
      </w:r>
      <w:r>
        <w:t xml:space="preserve"> </w:t>
      </w:r>
      <w:r>
        <w:t xml:space="preserve">Verses 17–31 describe the priest’s total consecration — garments, diet, marriage, drink, grief, speech. If the sermon remains at the level of</w:t>
      </w:r>
      <w:r>
        <w:t xml:space="preserve"> </w:t>
      </w:r>
      <w:r>
        <w:t xml:space="preserve">“these were the rules for Zadokite priests in the future temple,”</w:t>
      </w:r>
      <w:r>
        <w:t xml:space="preserve"> </w:t>
      </w:r>
      <w:r>
        <w:t xml:space="preserve">it fails to land what the regulations are teaching. The New Testament identifies all believers as a royal priesthood (1 Peter 2:9), which means the comprehensive consecration these regulations picture is addressed, in its New Covenant form, to every believer. The whole-life orientation they depict — the LORD as inheritance, separation from defilement, sobriety and clarity in service, the teaching of holy/common distinctions — is the theological content that must be applied to the congregation’s actual life.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2026-07-14T21:06:30Z</dcterms:created>
  <dcterms:modified xsi:type="dcterms:W3CDTF">2026-07-14T21:06:30Z</dcterms:modified>
</cp:coreProperties>
</file>

<file path=docProps/custom.xml><?xml version="1.0" encoding="utf-8"?>
<Properties xmlns="http://schemas.openxmlformats.org/officeDocument/2006/custom-properties" xmlns:vt="http://schemas.openxmlformats.org/officeDocument/2006/docPropsVTypes"/>
</file>